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60AAB" w14:paraId="397F44AC" w14:textId="77777777" w:rsidTr="008C7E44">
        <w:trPr>
          <w:cantSplit/>
        </w:trPr>
        <w:tc>
          <w:tcPr>
            <w:tcW w:w="3969" w:type="dxa"/>
            <w:vAlign w:val="center"/>
          </w:tcPr>
          <w:p w14:paraId="125F7495" w14:textId="39370E7E" w:rsidR="00E70202" w:rsidRPr="00860AAB" w:rsidRDefault="00E70202" w:rsidP="00E70202">
            <w:pPr>
              <w:spacing w:before="0" w:line="240" w:lineRule="auto"/>
              <w:ind w:left="1416"/>
              <w:rPr>
                <w:b/>
                <w:sz w:val="26"/>
                <w:szCs w:val="26"/>
                <w:lang w:val="it-IT"/>
              </w:rPr>
            </w:pPr>
            <w:r w:rsidRPr="00860AAB">
              <w:rPr>
                <w:b/>
                <w:sz w:val="26"/>
                <w:szCs w:val="26"/>
                <w:lang w:val="it-IT"/>
              </w:rPr>
              <w:t>COM</w:t>
            </w:r>
            <w:r w:rsidR="00261879" w:rsidRPr="00860AAB">
              <w:rPr>
                <w:b/>
                <w:sz w:val="26"/>
                <w:szCs w:val="26"/>
                <w:lang w:val="it-IT"/>
              </w:rPr>
              <w:t>UNICATO STAMPA</w:t>
            </w:r>
            <w:r w:rsidRPr="00860AAB">
              <w:rPr>
                <w:b/>
                <w:sz w:val="26"/>
                <w:szCs w:val="26"/>
                <w:lang w:val="it-IT"/>
              </w:rPr>
              <w:t xml:space="preserve"> </w:t>
            </w:r>
          </w:p>
          <w:p w14:paraId="2B7EC604" w14:textId="1EE2F573" w:rsidR="008C7E44" w:rsidRPr="00860AAB" w:rsidRDefault="005D6B64" w:rsidP="00E70202">
            <w:pPr>
              <w:spacing w:before="0" w:line="240" w:lineRule="auto"/>
              <w:ind w:left="1416"/>
              <w:jc w:val="both"/>
              <w:rPr>
                <w:sz w:val="22"/>
                <w:szCs w:val="22"/>
                <w:lang w:val="it-IT"/>
              </w:rPr>
            </w:pPr>
            <w:r w:rsidRPr="00860AAB">
              <w:rPr>
                <w:sz w:val="22"/>
                <w:szCs w:val="22"/>
                <w:lang w:val="it-IT"/>
              </w:rPr>
              <w:t xml:space="preserve">30 </w:t>
            </w:r>
            <w:r w:rsidR="00261879" w:rsidRPr="00860AAB">
              <w:rPr>
                <w:sz w:val="22"/>
                <w:szCs w:val="22"/>
                <w:lang w:val="it-IT"/>
              </w:rPr>
              <w:t>gennaio</w:t>
            </w:r>
            <w:r w:rsidRPr="00860AAB">
              <w:rPr>
                <w:sz w:val="22"/>
                <w:szCs w:val="22"/>
                <w:lang w:val="it-IT"/>
              </w:rPr>
              <w:t xml:space="preserve"> 2023</w:t>
            </w:r>
          </w:p>
        </w:tc>
      </w:tr>
    </w:tbl>
    <w:p w14:paraId="06750947" w14:textId="71101D32" w:rsidR="00E66807" w:rsidRPr="00860AAB" w:rsidRDefault="005D6B64" w:rsidP="00E66807">
      <w:pPr>
        <w:rPr>
          <w:b/>
          <w:bCs/>
          <w:sz w:val="44"/>
          <w:szCs w:val="44"/>
          <w:lang w:val="it-IT"/>
        </w:rPr>
      </w:pPr>
      <w:r w:rsidRPr="00860AAB">
        <w:rPr>
          <w:b/>
          <w:bCs/>
          <w:sz w:val="44"/>
          <w:szCs w:val="44"/>
          <w:lang w:val="it-IT"/>
        </w:rPr>
        <w:t>Com</w:t>
      </w:r>
      <w:r w:rsidR="00EA55DC" w:rsidRPr="00860AAB">
        <w:rPr>
          <w:b/>
          <w:bCs/>
          <w:sz w:val="44"/>
          <w:szCs w:val="44"/>
          <w:lang w:val="it-IT"/>
        </w:rPr>
        <w:t>unicato</w:t>
      </w:r>
    </w:p>
    <w:p w14:paraId="0C110004" w14:textId="77777777" w:rsidR="001F1509" w:rsidRPr="00860AAB" w:rsidRDefault="001F1509" w:rsidP="00E81176">
      <w:pPr>
        <w:spacing w:before="0"/>
        <w:jc w:val="both"/>
        <w:rPr>
          <w:sz w:val="22"/>
          <w:szCs w:val="22"/>
          <w:lang w:val="it-IT"/>
        </w:rPr>
      </w:pPr>
    </w:p>
    <w:p w14:paraId="631D7F44" w14:textId="6A8398A9" w:rsidR="002A1BB1" w:rsidRPr="00860AAB" w:rsidRDefault="005D6B64" w:rsidP="006F3643">
      <w:pPr>
        <w:spacing w:before="0" w:line="276" w:lineRule="auto"/>
        <w:jc w:val="both"/>
        <w:rPr>
          <w:b/>
          <w:bCs/>
          <w:sz w:val="22"/>
          <w:szCs w:val="22"/>
          <w:lang w:val="it-IT"/>
        </w:rPr>
      </w:pPr>
      <w:r w:rsidRPr="00860AAB">
        <w:rPr>
          <w:sz w:val="22"/>
          <w:szCs w:val="22"/>
          <w:lang w:val="it-IT"/>
        </w:rPr>
        <w:t>Boulogne-Billancourt</w:t>
      </w:r>
      <w:r w:rsidR="007E68F9" w:rsidRPr="00860AAB">
        <w:rPr>
          <w:sz w:val="22"/>
          <w:szCs w:val="22"/>
          <w:lang w:val="it-IT"/>
        </w:rPr>
        <w:t xml:space="preserve">, </w:t>
      </w:r>
      <w:r w:rsidRPr="00860AAB">
        <w:rPr>
          <w:sz w:val="22"/>
          <w:szCs w:val="22"/>
          <w:lang w:val="it-IT"/>
        </w:rPr>
        <w:t xml:space="preserve">30 </w:t>
      </w:r>
      <w:r w:rsidR="00EA55DC" w:rsidRPr="00860AAB">
        <w:rPr>
          <w:sz w:val="22"/>
          <w:szCs w:val="22"/>
          <w:lang w:val="it-IT"/>
        </w:rPr>
        <w:t>gennaio</w:t>
      </w:r>
      <w:r w:rsidRPr="00860AAB">
        <w:rPr>
          <w:sz w:val="22"/>
          <w:szCs w:val="22"/>
          <w:lang w:val="it-IT"/>
        </w:rPr>
        <w:t xml:space="preserve"> 2023</w:t>
      </w:r>
    </w:p>
    <w:p w14:paraId="1B411667" w14:textId="1821294A" w:rsidR="005D6B64" w:rsidRPr="00860AAB" w:rsidRDefault="00EA55DC" w:rsidP="005D6B64">
      <w:pPr>
        <w:spacing w:line="276" w:lineRule="auto"/>
        <w:jc w:val="both"/>
        <w:rPr>
          <w:sz w:val="22"/>
          <w:szCs w:val="22"/>
          <w:lang w:val="it-IT"/>
        </w:rPr>
      </w:pPr>
      <w:r w:rsidRPr="00860AAB">
        <w:rPr>
          <w:sz w:val="22"/>
          <w:szCs w:val="22"/>
          <w:lang w:val="it-IT"/>
        </w:rPr>
        <w:t>Dopo diversi mesi di discussioni costruttive con</w:t>
      </w:r>
      <w:r w:rsidR="005D6B64" w:rsidRPr="00860AAB">
        <w:rPr>
          <w:sz w:val="22"/>
          <w:szCs w:val="22"/>
          <w:lang w:val="it-IT"/>
        </w:rPr>
        <w:t xml:space="preserve"> Nissan Motor Co. Ltd, </w:t>
      </w:r>
      <w:r w:rsidRPr="00860AAB">
        <w:rPr>
          <w:sz w:val="22"/>
          <w:szCs w:val="22"/>
          <w:lang w:val="it-IT"/>
        </w:rPr>
        <w:t xml:space="preserve">il Gruppo Renault annuncia in data odierna, previa approvazione del Consiglio di Amministrazione, di aver raggiunto un importante traguardo nelle discussioni per stabilire le nuove basi della loro partnership. </w:t>
      </w:r>
      <w:r w:rsidR="005D6B64" w:rsidRPr="00860AAB">
        <w:rPr>
          <w:sz w:val="22"/>
          <w:szCs w:val="22"/>
          <w:lang w:val="it-IT"/>
        </w:rPr>
        <w:t xml:space="preserve"> </w:t>
      </w:r>
    </w:p>
    <w:p w14:paraId="2B051CC6" w14:textId="00B99B06" w:rsidR="005D6B64" w:rsidRPr="00860AAB" w:rsidRDefault="005D6B64" w:rsidP="00EA55DC">
      <w:pPr>
        <w:spacing w:line="276" w:lineRule="auto"/>
        <w:jc w:val="both"/>
        <w:rPr>
          <w:sz w:val="22"/>
          <w:szCs w:val="22"/>
          <w:lang w:val="it-IT"/>
        </w:rPr>
      </w:pPr>
      <w:r w:rsidRPr="00860AAB">
        <w:rPr>
          <w:sz w:val="22"/>
          <w:szCs w:val="22"/>
          <w:lang w:val="it-IT"/>
        </w:rPr>
        <w:t>L'</w:t>
      </w:r>
      <w:r w:rsidR="00EA55DC" w:rsidRPr="00860AAB">
        <w:rPr>
          <w:sz w:val="22"/>
          <w:szCs w:val="22"/>
          <w:lang w:val="it-IT"/>
        </w:rPr>
        <w:t xml:space="preserve">obiettivo ambizioso è quello di rafforzare ulteriormente i legami dell’Alleanza e accentuare al massimo la creazione di valore per tutti gli stakeholder con un approccio in tre </w:t>
      </w:r>
      <w:r w:rsidR="002F5DA3">
        <w:rPr>
          <w:sz w:val="22"/>
          <w:szCs w:val="22"/>
          <w:lang w:val="it-IT"/>
        </w:rPr>
        <w:t>dimensioni</w:t>
      </w:r>
      <w:r w:rsidR="00EA55DC" w:rsidRPr="00860AAB">
        <w:rPr>
          <w:sz w:val="22"/>
          <w:szCs w:val="22"/>
          <w:lang w:val="it-IT"/>
        </w:rPr>
        <w:t>:</w:t>
      </w:r>
    </w:p>
    <w:p w14:paraId="45A534DD" w14:textId="77777777" w:rsidR="00AA7856" w:rsidRPr="00860AAB" w:rsidRDefault="00AA7856" w:rsidP="00EA55DC">
      <w:pPr>
        <w:spacing w:line="276" w:lineRule="auto"/>
        <w:jc w:val="both"/>
        <w:rPr>
          <w:sz w:val="22"/>
          <w:szCs w:val="22"/>
          <w:lang w:val="it-IT"/>
        </w:rPr>
      </w:pPr>
    </w:p>
    <w:p w14:paraId="38DEB1B0" w14:textId="28B66865" w:rsidR="005D6B64" w:rsidRPr="00860AAB" w:rsidRDefault="005D6B64" w:rsidP="005D6B64">
      <w:pPr>
        <w:spacing w:line="276" w:lineRule="auto"/>
        <w:jc w:val="both"/>
        <w:rPr>
          <w:b/>
          <w:bCs/>
          <w:sz w:val="22"/>
          <w:szCs w:val="22"/>
          <w:lang w:val="it-IT"/>
        </w:rPr>
      </w:pPr>
      <w:r w:rsidRPr="00860AAB">
        <w:rPr>
          <w:sz w:val="22"/>
          <w:szCs w:val="22"/>
          <w:lang w:val="it-IT"/>
        </w:rPr>
        <w:t>•</w:t>
      </w:r>
      <w:r w:rsidRPr="00860AAB">
        <w:rPr>
          <w:sz w:val="22"/>
          <w:szCs w:val="22"/>
          <w:lang w:val="it-IT"/>
        </w:rPr>
        <w:tab/>
      </w:r>
      <w:r w:rsidRPr="00860AAB">
        <w:rPr>
          <w:b/>
          <w:bCs/>
          <w:sz w:val="22"/>
          <w:szCs w:val="22"/>
          <w:lang w:val="it-IT"/>
        </w:rPr>
        <w:t>R</w:t>
      </w:r>
      <w:r w:rsidR="00EA55DC" w:rsidRPr="00860AAB">
        <w:rPr>
          <w:b/>
          <w:bCs/>
          <w:sz w:val="22"/>
          <w:szCs w:val="22"/>
          <w:lang w:val="it-IT"/>
        </w:rPr>
        <w:t xml:space="preserve">ilancio della partnership con progetti operativi a forte creazione di valore </w:t>
      </w:r>
    </w:p>
    <w:p w14:paraId="52538D12" w14:textId="06145373" w:rsidR="005D6B64" w:rsidRPr="00860AAB" w:rsidRDefault="005D6B64" w:rsidP="005D6B64">
      <w:pPr>
        <w:pStyle w:val="Paragrafoelenco"/>
        <w:numPr>
          <w:ilvl w:val="0"/>
          <w:numId w:val="20"/>
        </w:numPr>
        <w:spacing w:line="276" w:lineRule="auto"/>
        <w:jc w:val="both"/>
        <w:rPr>
          <w:sz w:val="22"/>
          <w:szCs w:val="22"/>
          <w:lang w:val="it-IT"/>
        </w:rPr>
      </w:pPr>
      <w:r w:rsidRPr="00860AAB">
        <w:rPr>
          <w:sz w:val="22"/>
          <w:szCs w:val="22"/>
          <w:lang w:val="it-IT"/>
        </w:rPr>
        <w:t>Pro</w:t>
      </w:r>
      <w:r w:rsidR="00EA55DC" w:rsidRPr="00860AAB">
        <w:rPr>
          <w:sz w:val="22"/>
          <w:szCs w:val="22"/>
          <w:lang w:val="it-IT"/>
        </w:rPr>
        <w:t xml:space="preserve">getti chiave in America Latina, India ed Europa, che </w:t>
      </w:r>
      <w:r w:rsidR="00CF0C3A" w:rsidRPr="00860AAB">
        <w:rPr>
          <w:sz w:val="22"/>
          <w:szCs w:val="22"/>
          <w:lang w:val="it-IT"/>
        </w:rPr>
        <w:t>si svilupperanno su tre assi</w:t>
      </w:r>
      <w:r w:rsidRPr="00860AAB">
        <w:rPr>
          <w:sz w:val="22"/>
          <w:szCs w:val="22"/>
          <w:lang w:val="it-IT"/>
        </w:rPr>
        <w:t>: m</w:t>
      </w:r>
      <w:r w:rsidR="00CF0C3A" w:rsidRPr="00860AAB">
        <w:rPr>
          <w:sz w:val="22"/>
          <w:szCs w:val="22"/>
          <w:lang w:val="it-IT"/>
        </w:rPr>
        <w:t>ercati, veicoli e tecnologie.</w:t>
      </w:r>
    </w:p>
    <w:p w14:paraId="6A57C719" w14:textId="167F6F5B" w:rsidR="005D6B64" w:rsidRPr="00860AAB" w:rsidRDefault="005D6B64" w:rsidP="005D6B64">
      <w:pPr>
        <w:spacing w:line="276" w:lineRule="auto"/>
        <w:jc w:val="both"/>
        <w:rPr>
          <w:sz w:val="22"/>
          <w:szCs w:val="22"/>
          <w:lang w:val="it-IT"/>
        </w:rPr>
      </w:pPr>
      <w:r w:rsidRPr="00860AAB">
        <w:rPr>
          <w:sz w:val="22"/>
          <w:szCs w:val="22"/>
          <w:lang w:val="it-IT"/>
        </w:rPr>
        <w:t>•</w:t>
      </w:r>
      <w:r w:rsidRPr="00860AAB">
        <w:rPr>
          <w:sz w:val="22"/>
          <w:szCs w:val="22"/>
          <w:lang w:val="it-IT"/>
        </w:rPr>
        <w:tab/>
      </w:r>
      <w:r w:rsidRPr="00860AAB">
        <w:rPr>
          <w:b/>
          <w:bCs/>
          <w:sz w:val="22"/>
          <w:szCs w:val="22"/>
          <w:lang w:val="it-IT"/>
        </w:rPr>
        <w:t>R</w:t>
      </w:r>
      <w:r w:rsidR="00DC022B">
        <w:rPr>
          <w:b/>
          <w:bCs/>
          <w:sz w:val="22"/>
          <w:szCs w:val="22"/>
          <w:lang w:val="it-IT"/>
        </w:rPr>
        <w:t>afforzament</w:t>
      </w:r>
      <w:r w:rsidR="00CF0C3A" w:rsidRPr="00860AAB">
        <w:rPr>
          <w:b/>
          <w:bCs/>
          <w:sz w:val="22"/>
          <w:szCs w:val="22"/>
          <w:lang w:val="it-IT"/>
        </w:rPr>
        <w:t xml:space="preserve">o dell’agilità strategica con nuove iniziative a cui possono aderire i partner </w:t>
      </w:r>
    </w:p>
    <w:p w14:paraId="447E08F0" w14:textId="3C24956C" w:rsidR="005D6B64" w:rsidRPr="00860AAB" w:rsidRDefault="005D6B64" w:rsidP="005D6B64">
      <w:pPr>
        <w:pStyle w:val="Paragrafoelenco"/>
        <w:numPr>
          <w:ilvl w:val="0"/>
          <w:numId w:val="23"/>
        </w:numPr>
        <w:spacing w:line="276" w:lineRule="auto"/>
        <w:ind w:left="709" w:hanging="349"/>
        <w:jc w:val="both"/>
        <w:rPr>
          <w:sz w:val="22"/>
          <w:szCs w:val="22"/>
          <w:lang w:val="it-IT"/>
        </w:rPr>
      </w:pPr>
      <w:r w:rsidRPr="00860AAB">
        <w:rPr>
          <w:sz w:val="22"/>
          <w:szCs w:val="22"/>
          <w:lang w:val="it-IT"/>
        </w:rPr>
        <w:t xml:space="preserve">Nissan </w:t>
      </w:r>
      <w:r w:rsidR="00AA7856" w:rsidRPr="00860AAB">
        <w:rPr>
          <w:sz w:val="22"/>
          <w:szCs w:val="22"/>
          <w:lang w:val="it-IT"/>
        </w:rPr>
        <w:t xml:space="preserve">investirebbe in </w:t>
      </w:r>
      <w:r w:rsidRPr="00860AAB">
        <w:rPr>
          <w:sz w:val="22"/>
          <w:szCs w:val="22"/>
          <w:lang w:val="it-IT"/>
        </w:rPr>
        <w:t xml:space="preserve">Ampere, </w:t>
      </w:r>
      <w:r w:rsidR="00AA7856" w:rsidRPr="00860AAB">
        <w:rPr>
          <w:sz w:val="22"/>
          <w:szCs w:val="22"/>
          <w:lang w:val="it-IT"/>
        </w:rPr>
        <w:t>il</w:t>
      </w:r>
      <w:r w:rsidRPr="00860AAB">
        <w:rPr>
          <w:sz w:val="22"/>
          <w:szCs w:val="22"/>
          <w:lang w:val="it-IT"/>
        </w:rPr>
        <w:t xml:space="preserve"> </w:t>
      </w:r>
      <w:r w:rsidRPr="00860AAB">
        <w:rPr>
          <w:i/>
          <w:iCs/>
          <w:sz w:val="22"/>
          <w:szCs w:val="22"/>
          <w:lang w:val="it-IT"/>
        </w:rPr>
        <w:t>pure player</w:t>
      </w:r>
      <w:r w:rsidRPr="00860AAB">
        <w:rPr>
          <w:sz w:val="22"/>
          <w:szCs w:val="22"/>
          <w:lang w:val="it-IT"/>
        </w:rPr>
        <w:t xml:space="preserve"> d</w:t>
      </w:r>
      <w:r w:rsidR="00AA7856" w:rsidRPr="00860AAB">
        <w:rPr>
          <w:sz w:val="22"/>
          <w:szCs w:val="22"/>
          <w:lang w:val="it-IT"/>
        </w:rPr>
        <w:t xml:space="preserve">el settore elettrico e del </w:t>
      </w:r>
      <w:r w:rsidRPr="00860AAB">
        <w:rPr>
          <w:sz w:val="22"/>
          <w:szCs w:val="22"/>
          <w:lang w:val="it-IT"/>
        </w:rPr>
        <w:t>software fond</w:t>
      </w:r>
      <w:r w:rsidR="00AA7856" w:rsidRPr="00860AAB">
        <w:rPr>
          <w:sz w:val="22"/>
          <w:szCs w:val="22"/>
          <w:lang w:val="it-IT"/>
        </w:rPr>
        <w:t xml:space="preserve">ato dal Gruppo </w:t>
      </w:r>
      <w:r w:rsidRPr="00860AAB">
        <w:rPr>
          <w:sz w:val="22"/>
          <w:szCs w:val="22"/>
          <w:lang w:val="it-IT"/>
        </w:rPr>
        <w:t xml:space="preserve">Renault, </w:t>
      </w:r>
      <w:r w:rsidR="00AA7856" w:rsidRPr="00860AAB">
        <w:rPr>
          <w:sz w:val="22"/>
          <w:szCs w:val="22"/>
          <w:lang w:val="it-IT"/>
        </w:rPr>
        <w:t>per diventarne un azionista strategico</w:t>
      </w:r>
      <w:r w:rsidRPr="00860AAB">
        <w:rPr>
          <w:sz w:val="22"/>
          <w:szCs w:val="22"/>
          <w:lang w:val="it-IT"/>
        </w:rPr>
        <w:t xml:space="preserve">.  </w:t>
      </w:r>
    </w:p>
    <w:p w14:paraId="3229A685" w14:textId="72ACA99B" w:rsidR="005D6B64" w:rsidRPr="00860AAB" w:rsidRDefault="005D6B64" w:rsidP="00547CA1">
      <w:pPr>
        <w:spacing w:line="276" w:lineRule="auto"/>
        <w:ind w:left="709" w:hanging="709"/>
        <w:jc w:val="both"/>
        <w:rPr>
          <w:sz w:val="22"/>
          <w:szCs w:val="22"/>
          <w:lang w:val="it-IT"/>
        </w:rPr>
      </w:pPr>
      <w:r w:rsidRPr="00860AAB">
        <w:rPr>
          <w:sz w:val="22"/>
          <w:szCs w:val="22"/>
          <w:lang w:val="it-IT"/>
        </w:rPr>
        <w:t>•</w:t>
      </w:r>
      <w:r w:rsidRPr="00860AAB">
        <w:rPr>
          <w:sz w:val="22"/>
          <w:szCs w:val="22"/>
          <w:lang w:val="it-IT"/>
        </w:rPr>
        <w:tab/>
      </w:r>
      <w:r w:rsidR="00AA7856" w:rsidRPr="00860AAB">
        <w:rPr>
          <w:b/>
          <w:bCs/>
          <w:sz w:val="22"/>
          <w:szCs w:val="22"/>
          <w:lang w:val="it-IT"/>
        </w:rPr>
        <w:t xml:space="preserve">Governance equilibrata e partecipazioni incrociate per favorire l’accelerazione degli </w:t>
      </w:r>
      <w:r w:rsidR="000256D7">
        <w:rPr>
          <w:b/>
          <w:bCs/>
          <w:sz w:val="22"/>
          <w:szCs w:val="22"/>
          <w:lang w:val="it-IT"/>
        </w:rPr>
        <w:t>incre</w:t>
      </w:r>
      <w:r w:rsidR="00AA7856" w:rsidRPr="00860AAB">
        <w:rPr>
          <w:b/>
          <w:bCs/>
          <w:sz w:val="22"/>
          <w:szCs w:val="22"/>
          <w:lang w:val="it-IT"/>
        </w:rPr>
        <w:t xml:space="preserve">menti di efficienza operativa </w:t>
      </w:r>
    </w:p>
    <w:p w14:paraId="02E6132A" w14:textId="1AC4ABD3" w:rsidR="005D6B64" w:rsidRPr="00860AAB" w:rsidRDefault="00AA7856" w:rsidP="00AA7856">
      <w:pPr>
        <w:pStyle w:val="Paragrafoelenco"/>
        <w:numPr>
          <w:ilvl w:val="0"/>
          <w:numId w:val="23"/>
        </w:numPr>
        <w:spacing w:line="276" w:lineRule="auto"/>
        <w:ind w:left="709" w:hanging="349"/>
        <w:jc w:val="both"/>
        <w:rPr>
          <w:sz w:val="22"/>
          <w:szCs w:val="22"/>
          <w:lang w:val="it-IT"/>
        </w:rPr>
      </w:pPr>
      <w:r w:rsidRPr="00860AAB">
        <w:rPr>
          <w:sz w:val="22"/>
          <w:szCs w:val="22"/>
          <w:lang w:val="it-IT"/>
        </w:rPr>
        <w:t xml:space="preserve">Il Gruppo </w:t>
      </w:r>
      <w:r w:rsidR="005D6B64" w:rsidRPr="00860AAB">
        <w:rPr>
          <w:sz w:val="22"/>
          <w:szCs w:val="22"/>
          <w:lang w:val="it-IT"/>
        </w:rPr>
        <w:t xml:space="preserve">Renault </w:t>
      </w:r>
      <w:r w:rsidRPr="00860AAB">
        <w:rPr>
          <w:sz w:val="22"/>
          <w:szCs w:val="22"/>
          <w:lang w:val="it-IT"/>
        </w:rPr>
        <w:t>e</w:t>
      </w:r>
      <w:r w:rsidR="005D6B64" w:rsidRPr="00860AAB">
        <w:rPr>
          <w:sz w:val="22"/>
          <w:szCs w:val="22"/>
          <w:lang w:val="it-IT"/>
        </w:rPr>
        <w:t xml:space="preserve"> Nissan </w:t>
      </w:r>
      <w:r w:rsidRPr="00860AAB">
        <w:rPr>
          <w:sz w:val="22"/>
          <w:szCs w:val="22"/>
          <w:lang w:val="it-IT"/>
        </w:rPr>
        <w:t>manterr</w:t>
      </w:r>
      <w:r w:rsidR="00215239" w:rsidRPr="00860AAB">
        <w:rPr>
          <w:sz w:val="22"/>
          <w:szCs w:val="22"/>
          <w:lang w:val="it-IT"/>
        </w:rPr>
        <w:t>ebbero</w:t>
      </w:r>
      <w:r w:rsidRPr="00860AAB">
        <w:rPr>
          <w:sz w:val="22"/>
          <w:szCs w:val="22"/>
          <w:lang w:val="it-IT"/>
        </w:rPr>
        <w:t xml:space="preserve"> una partecipazione incrociata del </w:t>
      </w:r>
      <w:r w:rsidR="005D6B64" w:rsidRPr="00860AAB">
        <w:rPr>
          <w:sz w:val="22"/>
          <w:szCs w:val="22"/>
          <w:lang w:val="it-IT"/>
        </w:rPr>
        <w:t xml:space="preserve">15%, </w:t>
      </w:r>
      <w:r w:rsidRPr="00860AAB">
        <w:rPr>
          <w:sz w:val="22"/>
          <w:szCs w:val="22"/>
          <w:lang w:val="it-IT"/>
        </w:rPr>
        <w:t xml:space="preserve">con un impegno di lock-up e </w:t>
      </w:r>
      <w:r w:rsidR="00860AAB">
        <w:rPr>
          <w:sz w:val="22"/>
          <w:szCs w:val="22"/>
          <w:lang w:val="it-IT"/>
        </w:rPr>
        <w:t xml:space="preserve">un </w:t>
      </w:r>
      <w:r w:rsidRPr="00860AAB">
        <w:rPr>
          <w:sz w:val="22"/>
          <w:szCs w:val="22"/>
          <w:lang w:val="it-IT"/>
        </w:rPr>
        <w:t xml:space="preserve">obbligo di massimale delle partecipazioni. Sarebbero entrambe in grado di esercitare liberamente i diritti di voto connessi alla partecipazione diretta del 15%, con un tetto massimo del 15%. </w:t>
      </w:r>
    </w:p>
    <w:p w14:paraId="4F79D360" w14:textId="5BA75DA6" w:rsidR="005D6B64" w:rsidRPr="00860AAB" w:rsidRDefault="00AA7856" w:rsidP="00215239">
      <w:pPr>
        <w:pStyle w:val="Paragrafoelenco"/>
        <w:numPr>
          <w:ilvl w:val="0"/>
          <w:numId w:val="23"/>
        </w:numPr>
        <w:spacing w:line="276" w:lineRule="auto"/>
        <w:ind w:left="709" w:hanging="349"/>
        <w:jc w:val="both"/>
        <w:rPr>
          <w:sz w:val="22"/>
          <w:szCs w:val="22"/>
          <w:lang w:val="it-IT"/>
        </w:rPr>
      </w:pPr>
      <w:r w:rsidRPr="00860AAB">
        <w:rPr>
          <w:sz w:val="22"/>
          <w:szCs w:val="22"/>
          <w:lang w:val="it-IT"/>
        </w:rPr>
        <w:t xml:space="preserve">Il Gruppo </w:t>
      </w:r>
      <w:r w:rsidR="005D6B64" w:rsidRPr="00860AAB">
        <w:rPr>
          <w:sz w:val="22"/>
          <w:szCs w:val="22"/>
          <w:lang w:val="it-IT"/>
        </w:rPr>
        <w:t xml:space="preserve">Renault </w:t>
      </w:r>
      <w:r w:rsidR="00215239" w:rsidRPr="00860AAB">
        <w:rPr>
          <w:sz w:val="22"/>
          <w:szCs w:val="22"/>
          <w:lang w:val="it-IT"/>
        </w:rPr>
        <w:t xml:space="preserve">trasferirebbe il </w:t>
      </w:r>
      <w:r w:rsidR="005D6B64" w:rsidRPr="00860AAB">
        <w:rPr>
          <w:sz w:val="22"/>
          <w:szCs w:val="22"/>
          <w:lang w:val="it-IT"/>
        </w:rPr>
        <w:t xml:space="preserve">28,4% </w:t>
      </w:r>
      <w:r w:rsidR="00215239" w:rsidRPr="00860AAB">
        <w:rPr>
          <w:sz w:val="22"/>
          <w:szCs w:val="22"/>
          <w:lang w:val="it-IT"/>
        </w:rPr>
        <w:t xml:space="preserve">delle sue azioni </w:t>
      </w:r>
      <w:r w:rsidR="005D6B64" w:rsidRPr="00860AAB">
        <w:rPr>
          <w:sz w:val="22"/>
          <w:szCs w:val="22"/>
          <w:lang w:val="it-IT"/>
        </w:rPr>
        <w:t xml:space="preserve">Nissan </w:t>
      </w:r>
      <w:r w:rsidR="00215239" w:rsidRPr="00860AAB">
        <w:rPr>
          <w:sz w:val="22"/>
          <w:szCs w:val="22"/>
          <w:lang w:val="it-IT"/>
        </w:rPr>
        <w:t>in un fondo fiduciario francese, in cui i diritti di voto sarebbero “neutralizzati” per la maggior parte delle decisioni, ma in cui i diritti economici (dividendi e proventi d</w:t>
      </w:r>
      <w:r w:rsidR="00860AAB">
        <w:rPr>
          <w:sz w:val="22"/>
          <w:szCs w:val="22"/>
          <w:lang w:val="it-IT"/>
        </w:rPr>
        <w:t>a</w:t>
      </w:r>
      <w:r w:rsidR="00215239" w:rsidRPr="00860AAB">
        <w:rPr>
          <w:sz w:val="22"/>
          <w:szCs w:val="22"/>
          <w:lang w:val="it-IT"/>
        </w:rPr>
        <w:t xml:space="preserve">lla vendita delle azioni) andrebbero sempre interamente a vantaggio del Gruppo Renault fino alla vendita delle azioni stesse. </w:t>
      </w:r>
      <w:r w:rsidR="005D6B64" w:rsidRPr="00860AAB">
        <w:rPr>
          <w:sz w:val="22"/>
          <w:szCs w:val="22"/>
          <w:lang w:val="it-IT"/>
        </w:rPr>
        <w:t xml:space="preserve"> </w:t>
      </w:r>
    </w:p>
    <w:p w14:paraId="0FAEEEA9" w14:textId="570A4158" w:rsidR="005D6B64" w:rsidRPr="00860AAB" w:rsidRDefault="00215239" w:rsidP="00215239">
      <w:pPr>
        <w:pStyle w:val="Paragrafoelenco"/>
        <w:numPr>
          <w:ilvl w:val="0"/>
          <w:numId w:val="23"/>
        </w:numPr>
        <w:spacing w:line="276" w:lineRule="auto"/>
        <w:ind w:left="709" w:hanging="349"/>
        <w:jc w:val="both"/>
        <w:rPr>
          <w:sz w:val="22"/>
          <w:szCs w:val="22"/>
          <w:lang w:val="it-IT"/>
        </w:rPr>
      </w:pPr>
      <w:r w:rsidRPr="00860AAB">
        <w:rPr>
          <w:sz w:val="22"/>
          <w:szCs w:val="22"/>
          <w:lang w:val="it-IT"/>
        </w:rPr>
        <w:t xml:space="preserve">Il Gruppo </w:t>
      </w:r>
      <w:r w:rsidR="005D6B64" w:rsidRPr="00860AAB">
        <w:rPr>
          <w:sz w:val="22"/>
          <w:szCs w:val="22"/>
          <w:lang w:val="it-IT"/>
        </w:rPr>
        <w:t xml:space="preserve">Renault </w:t>
      </w:r>
      <w:r w:rsidRPr="00860AAB">
        <w:rPr>
          <w:sz w:val="22"/>
          <w:szCs w:val="22"/>
          <w:lang w:val="it-IT"/>
        </w:rPr>
        <w:t>impartirebbe al fondo fiduciario l’ordine di vendere le azioni Nissan</w:t>
      </w:r>
      <w:r w:rsidR="00860AAB">
        <w:rPr>
          <w:sz w:val="22"/>
          <w:szCs w:val="22"/>
          <w:lang w:val="it-IT"/>
        </w:rPr>
        <w:t xml:space="preserve"> con un processo ordinato e organizzato</w:t>
      </w:r>
      <w:r w:rsidRPr="00860AAB">
        <w:rPr>
          <w:sz w:val="22"/>
          <w:szCs w:val="22"/>
          <w:lang w:val="it-IT"/>
        </w:rPr>
        <w:t xml:space="preserve">, se le condizioni economiche </w:t>
      </w:r>
      <w:r w:rsidR="00860AAB">
        <w:rPr>
          <w:sz w:val="22"/>
          <w:szCs w:val="22"/>
          <w:lang w:val="it-IT"/>
        </w:rPr>
        <w:t xml:space="preserve">risultassero </w:t>
      </w:r>
      <w:r w:rsidRPr="00860AAB">
        <w:rPr>
          <w:sz w:val="22"/>
          <w:szCs w:val="22"/>
          <w:lang w:val="it-IT"/>
        </w:rPr>
        <w:t xml:space="preserve">ragionevoli </w:t>
      </w:r>
      <w:r w:rsidR="00860AAB">
        <w:rPr>
          <w:sz w:val="22"/>
          <w:szCs w:val="22"/>
          <w:lang w:val="it-IT"/>
        </w:rPr>
        <w:t xml:space="preserve">per il </w:t>
      </w:r>
      <w:r w:rsidRPr="00860AAB">
        <w:rPr>
          <w:sz w:val="22"/>
          <w:szCs w:val="22"/>
          <w:lang w:val="it-IT"/>
        </w:rPr>
        <w:t xml:space="preserve">Gruppo Renault, ma non avrebbe l’obbligo di venderle entro un lasso di tempo specifico e predeterminato. </w:t>
      </w:r>
    </w:p>
    <w:p w14:paraId="45067946" w14:textId="02681099" w:rsidR="005D6B64" w:rsidRPr="00860AAB" w:rsidRDefault="005D6B64" w:rsidP="005D6B64">
      <w:pPr>
        <w:pStyle w:val="Paragrafoelenco"/>
        <w:numPr>
          <w:ilvl w:val="0"/>
          <w:numId w:val="23"/>
        </w:numPr>
        <w:spacing w:line="276" w:lineRule="auto"/>
        <w:ind w:left="709" w:hanging="349"/>
        <w:jc w:val="both"/>
        <w:rPr>
          <w:sz w:val="22"/>
          <w:szCs w:val="22"/>
          <w:lang w:val="it-IT"/>
        </w:rPr>
      </w:pPr>
      <w:r w:rsidRPr="00860AAB">
        <w:rPr>
          <w:sz w:val="22"/>
          <w:szCs w:val="22"/>
          <w:lang w:val="it-IT"/>
        </w:rPr>
        <w:t>L’</w:t>
      </w:r>
      <w:r w:rsidRPr="00860AAB">
        <w:rPr>
          <w:i/>
          <w:iCs/>
          <w:sz w:val="22"/>
          <w:szCs w:val="22"/>
          <w:lang w:val="it-IT"/>
        </w:rPr>
        <w:t>Alliance Operating Board</w:t>
      </w:r>
      <w:r w:rsidRPr="00860AAB">
        <w:rPr>
          <w:sz w:val="22"/>
          <w:szCs w:val="22"/>
          <w:lang w:val="it-IT"/>
        </w:rPr>
        <w:t xml:space="preserve"> </w:t>
      </w:r>
      <w:r w:rsidR="00215239" w:rsidRPr="00860AAB">
        <w:rPr>
          <w:sz w:val="22"/>
          <w:szCs w:val="22"/>
          <w:lang w:val="it-IT"/>
        </w:rPr>
        <w:t>continuerebbe a</w:t>
      </w:r>
      <w:r w:rsidR="00BA7E71">
        <w:rPr>
          <w:sz w:val="22"/>
          <w:szCs w:val="22"/>
          <w:lang w:val="it-IT"/>
        </w:rPr>
        <w:t>d</w:t>
      </w:r>
      <w:r w:rsidR="00215239" w:rsidRPr="00860AAB">
        <w:rPr>
          <w:sz w:val="22"/>
          <w:szCs w:val="22"/>
          <w:lang w:val="it-IT"/>
        </w:rPr>
        <w:t xml:space="preserve"> essere l’organo di coordinamento. </w:t>
      </w:r>
    </w:p>
    <w:p w14:paraId="24E62D7F" w14:textId="77777777" w:rsidR="004757C5" w:rsidRDefault="004757C5" w:rsidP="005D6B64">
      <w:pPr>
        <w:spacing w:line="276" w:lineRule="auto"/>
        <w:jc w:val="both"/>
        <w:rPr>
          <w:sz w:val="22"/>
          <w:szCs w:val="22"/>
          <w:lang w:val="it-IT"/>
        </w:rPr>
      </w:pPr>
    </w:p>
    <w:p w14:paraId="2A4A6037" w14:textId="70FFEAF8" w:rsidR="005D6B64" w:rsidRPr="00860AAB" w:rsidRDefault="00215239" w:rsidP="005D6B64">
      <w:pPr>
        <w:spacing w:line="276" w:lineRule="auto"/>
        <w:jc w:val="both"/>
        <w:rPr>
          <w:sz w:val="22"/>
          <w:szCs w:val="22"/>
          <w:lang w:val="it-IT"/>
        </w:rPr>
      </w:pPr>
      <w:r w:rsidRPr="00860AAB">
        <w:rPr>
          <w:sz w:val="22"/>
          <w:szCs w:val="22"/>
          <w:lang w:val="it-IT"/>
        </w:rPr>
        <w:t xml:space="preserve">Gli accordi sono in fase di finalizzazione e la transazione </w:t>
      </w:r>
      <w:r w:rsidR="00D050E1" w:rsidRPr="00860AAB">
        <w:rPr>
          <w:sz w:val="22"/>
          <w:szCs w:val="22"/>
          <w:lang w:val="it-IT"/>
        </w:rPr>
        <w:t xml:space="preserve">sarà </w:t>
      </w:r>
      <w:r w:rsidRPr="00860AAB">
        <w:rPr>
          <w:sz w:val="22"/>
          <w:szCs w:val="22"/>
          <w:lang w:val="it-IT"/>
        </w:rPr>
        <w:t xml:space="preserve">sottoposta a previa approvazione dei Consigli di Amministrazione del Gruppo </w:t>
      </w:r>
      <w:r w:rsidR="005D6B64" w:rsidRPr="00860AAB">
        <w:rPr>
          <w:sz w:val="22"/>
          <w:szCs w:val="22"/>
          <w:lang w:val="it-IT"/>
        </w:rPr>
        <w:t xml:space="preserve">Renault </w:t>
      </w:r>
      <w:r w:rsidRPr="00860AAB">
        <w:rPr>
          <w:sz w:val="22"/>
          <w:szCs w:val="22"/>
          <w:lang w:val="it-IT"/>
        </w:rPr>
        <w:t xml:space="preserve">e di </w:t>
      </w:r>
      <w:r w:rsidR="005D6B64" w:rsidRPr="00860AAB">
        <w:rPr>
          <w:sz w:val="22"/>
          <w:szCs w:val="22"/>
          <w:lang w:val="it-IT"/>
        </w:rPr>
        <w:t>Nissan.</w:t>
      </w:r>
    </w:p>
    <w:p w14:paraId="0144D9AB" w14:textId="0621754E" w:rsidR="007E68F9" w:rsidRPr="00860AAB" w:rsidRDefault="00215239" w:rsidP="005D6B64">
      <w:pPr>
        <w:spacing w:line="276" w:lineRule="auto"/>
        <w:jc w:val="both"/>
        <w:rPr>
          <w:sz w:val="22"/>
          <w:szCs w:val="22"/>
          <w:lang w:val="it-IT"/>
        </w:rPr>
      </w:pPr>
      <w:r w:rsidRPr="00860AAB">
        <w:rPr>
          <w:sz w:val="22"/>
          <w:szCs w:val="22"/>
          <w:lang w:val="it-IT"/>
        </w:rPr>
        <w:t xml:space="preserve">I membri dell’Alleanza prevedono di </w:t>
      </w:r>
      <w:r w:rsidR="00D050E1" w:rsidRPr="00860AAB">
        <w:rPr>
          <w:sz w:val="22"/>
          <w:szCs w:val="22"/>
          <w:lang w:val="it-IT"/>
        </w:rPr>
        <w:t>dare</w:t>
      </w:r>
      <w:r w:rsidRPr="00860AAB">
        <w:rPr>
          <w:sz w:val="22"/>
          <w:szCs w:val="22"/>
          <w:lang w:val="it-IT"/>
        </w:rPr>
        <w:t xml:space="preserve"> l’annuncio subito dopo l’approvazione dei Consigli di Amministrazione. </w:t>
      </w:r>
    </w:p>
    <w:p w14:paraId="46AD49B2" w14:textId="77777777" w:rsidR="005D6B64" w:rsidRPr="00860AAB" w:rsidRDefault="005D6B64" w:rsidP="005D6B64">
      <w:pPr>
        <w:spacing w:line="276" w:lineRule="auto"/>
        <w:jc w:val="both"/>
        <w:rPr>
          <w:sz w:val="22"/>
          <w:szCs w:val="22"/>
          <w:lang w:val="it-IT"/>
        </w:rPr>
      </w:pPr>
    </w:p>
    <w:p w14:paraId="44845957" w14:textId="77777777" w:rsidR="00D27937" w:rsidRPr="00860AAB" w:rsidRDefault="00D27937" w:rsidP="00804814">
      <w:pPr>
        <w:spacing w:before="0" w:line="240" w:lineRule="auto"/>
        <w:jc w:val="both"/>
        <w:rPr>
          <w:b/>
          <w:szCs w:val="18"/>
          <w:lang w:val="it-IT"/>
        </w:rPr>
      </w:pPr>
    </w:p>
    <w:p w14:paraId="2444375A" w14:textId="3073974C" w:rsidR="00E24BA2" w:rsidRPr="00860AAB" w:rsidRDefault="00527E3B" w:rsidP="00E24BA2">
      <w:pPr>
        <w:spacing w:before="0"/>
        <w:contextualSpacing/>
        <w:jc w:val="both"/>
        <w:rPr>
          <w:b/>
          <w:bCs/>
          <w:sz w:val="22"/>
          <w:u w:val="single"/>
          <w:lang w:val="it-IT"/>
        </w:rPr>
      </w:pPr>
      <w:r w:rsidRPr="00860AAB">
        <w:rPr>
          <w:b/>
          <w:bCs/>
          <w:lang w:val="it-IT"/>
        </w:rPr>
        <w:lastRenderedPageBreak/>
        <w:t xml:space="preserve">CENNI SUL GRUPPO RENAULT </w:t>
      </w:r>
      <w:r w:rsidR="00E24BA2" w:rsidRPr="00860AAB">
        <w:rPr>
          <w:b/>
          <w:bCs/>
          <w:lang w:val="it-IT"/>
        </w:rPr>
        <w:t xml:space="preserve"> </w:t>
      </w:r>
    </w:p>
    <w:p w14:paraId="6D9B9278" w14:textId="729661CA" w:rsidR="00CA789D" w:rsidRPr="00860AAB" w:rsidRDefault="00527E3B" w:rsidP="00E24BA2">
      <w:pPr>
        <w:spacing w:before="0"/>
        <w:contextualSpacing/>
        <w:jc w:val="both"/>
        <w:rPr>
          <w:rFonts w:asciiTheme="majorHAnsi" w:hAnsiTheme="majorHAnsi"/>
          <w:szCs w:val="18"/>
          <w:lang w:val="it-IT"/>
        </w:rPr>
      </w:pPr>
      <w:bookmarkStart w:id="0" w:name="_Hlk118469334"/>
      <w:r w:rsidRPr="00860AAB">
        <w:rPr>
          <w:rFonts w:asciiTheme="majorHAnsi" w:hAnsiTheme="majorHAnsi" w:cs="Arial"/>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2,1 milioni di veicoli nel 2022.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860AAB">
        <w:rPr>
          <w:rFonts w:asciiTheme="majorHAnsi" w:hAnsiTheme="majorHAnsi"/>
          <w:szCs w:val="18"/>
          <w:lang w:val="it-IT"/>
        </w:rPr>
        <w:t xml:space="preserve"> </w:t>
      </w:r>
      <w:r w:rsidR="00CA789D" w:rsidRPr="00860AAB">
        <w:rPr>
          <w:lang w:val="it-IT"/>
        </w:rPr>
        <w:t xml:space="preserve"> </w:t>
      </w:r>
      <w:hyperlink r:id="rId11" w:history="1">
        <w:r w:rsidR="00CA789D" w:rsidRPr="00860AAB">
          <w:rPr>
            <w:rStyle w:val="Collegamentoipertestuale"/>
            <w:lang w:val="it-IT"/>
          </w:rPr>
          <w:t>https://www.renaultgroup.com/</w:t>
        </w:r>
      </w:hyperlink>
    </w:p>
    <w:p w14:paraId="722E3045" w14:textId="77777777" w:rsidR="00CA789D" w:rsidRPr="00860AAB" w:rsidRDefault="00CA789D" w:rsidP="00E24BA2">
      <w:pPr>
        <w:spacing w:before="0"/>
        <w:contextualSpacing/>
        <w:jc w:val="both"/>
        <w:rPr>
          <w:lang w:val="it-IT"/>
        </w:rPr>
      </w:pPr>
    </w:p>
    <w:p w14:paraId="31413A0F" w14:textId="77777777" w:rsidR="00527E3B" w:rsidRPr="00860AAB" w:rsidRDefault="00527E3B" w:rsidP="00527E3B">
      <w:pPr>
        <w:spacing w:before="0" w:line="240" w:lineRule="auto"/>
        <w:rPr>
          <w:rFonts w:asciiTheme="majorHAnsi" w:hAnsiTheme="majorHAnsi" w:cs="Arial"/>
          <w:b/>
          <w:bCs/>
          <w:szCs w:val="18"/>
          <w:lang w:val="it-IT" w:eastAsia="en-GB"/>
        </w:rPr>
      </w:pPr>
      <w:bookmarkStart w:id="1" w:name="_Hlk106806111"/>
      <w:bookmarkEnd w:id="0"/>
      <w:r w:rsidRPr="00860AAB">
        <w:rPr>
          <w:rFonts w:asciiTheme="majorHAnsi" w:hAnsiTheme="majorHAnsi" w:cs="Arial"/>
          <w:b/>
          <w:bCs/>
          <w:szCs w:val="18"/>
          <w:lang w:val="it-IT" w:eastAsia="en-GB"/>
        </w:rPr>
        <w:t>Contatto stampa Gruppo Renault Italia:</w:t>
      </w:r>
    </w:p>
    <w:p w14:paraId="2E5D16D6" w14:textId="77777777" w:rsidR="00527E3B" w:rsidRPr="00860AAB" w:rsidRDefault="00527E3B" w:rsidP="00527E3B">
      <w:pPr>
        <w:spacing w:before="0" w:line="240" w:lineRule="auto"/>
        <w:rPr>
          <w:rFonts w:asciiTheme="majorHAnsi" w:hAnsiTheme="majorHAnsi" w:cs="Arial"/>
          <w:caps/>
          <w:szCs w:val="18"/>
          <w:lang w:val="it-IT" w:eastAsia="en-GB"/>
        </w:rPr>
      </w:pPr>
      <w:r w:rsidRPr="00860AAB">
        <w:rPr>
          <w:rFonts w:asciiTheme="majorHAnsi" w:hAnsiTheme="majorHAnsi" w:cs="Arial"/>
          <w:b/>
          <w:bCs/>
          <w:szCs w:val="18"/>
          <w:lang w:val="it-IT" w:eastAsia="en-GB"/>
        </w:rPr>
        <w:t>Paola Rèpaci</w:t>
      </w:r>
      <w:r w:rsidRPr="00860AAB">
        <w:rPr>
          <w:rFonts w:asciiTheme="majorHAnsi" w:hAnsiTheme="majorHAnsi" w:cs="Arial"/>
          <w:szCs w:val="18"/>
          <w:lang w:val="it-IT" w:eastAsia="en-GB"/>
        </w:rPr>
        <w:t>– Renault/ Alpine Product &amp; Corporate Communication Manager</w:t>
      </w:r>
    </w:p>
    <w:p w14:paraId="2B103FD3" w14:textId="762040B6" w:rsidR="00527E3B" w:rsidRPr="00723390" w:rsidRDefault="00E04269" w:rsidP="00527E3B">
      <w:pPr>
        <w:spacing w:before="0" w:line="240" w:lineRule="auto"/>
        <w:rPr>
          <w:rFonts w:asciiTheme="majorHAnsi" w:hAnsiTheme="majorHAnsi" w:cs="Arial"/>
          <w:caps/>
          <w:szCs w:val="18"/>
          <w:lang w:val="en-US" w:eastAsia="en-GB"/>
        </w:rPr>
      </w:pPr>
      <w:hyperlink r:id="rId12" w:history="1">
        <w:r w:rsidR="00527E3B" w:rsidRPr="00723390">
          <w:rPr>
            <w:rStyle w:val="Collegamentoipertestuale"/>
            <w:rFonts w:asciiTheme="majorHAnsi" w:hAnsiTheme="majorHAnsi" w:cs="Arial"/>
            <w:szCs w:val="18"/>
            <w:lang w:val="en-US" w:eastAsia="en-GB"/>
          </w:rPr>
          <w:t>paola.repaci@renault.it</w:t>
        </w:r>
      </w:hyperlink>
      <w:r w:rsidR="00527E3B" w:rsidRPr="00723390">
        <w:rPr>
          <w:rFonts w:asciiTheme="majorHAnsi" w:hAnsiTheme="majorHAnsi" w:cs="Arial"/>
          <w:szCs w:val="18"/>
          <w:lang w:val="en-US" w:eastAsia="en-GB"/>
        </w:rPr>
        <w:t xml:space="preserve"> Cell: +39 335 12545</w:t>
      </w:r>
      <w:r w:rsidR="00527E3B" w:rsidRPr="00723390">
        <w:rPr>
          <w:rFonts w:asciiTheme="majorHAnsi" w:hAnsiTheme="majorHAnsi" w:cs="Arial"/>
          <w:caps/>
          <w:szCs w:val="18"/>
          <w:lang w:val="en-US" w:eastAsia="en-GB"/>
        </w:rPr>
        <w:t>92</w:t>
      </w:r>
      <w:r w:rsidR="00723390">
        <w:rPr>
          <w:rFonts w:asciiTheme="majorHAnsi" w:hAnsiTheme="majorHAnsi" w:cs="Arial"/>
          <w:caps/>
          <w:szCs w:val="18"/>
          <w:lang w:val="en-US" w:eastAsia="en-GB"/>
        </w:rPr>
        <w:t xml:space="preserve">; </w:t>
      </w:r>
      <w:r w:rsidR="00527E3B" w:rsidRPr="00723390">
        <w:rPr>
          <w:rFonts w:asciiTheme="majorHAnsi" w:hAnsiTheme="majorHAnsi" w:cs="Arial"/>
          <w:szCs w:val="18"/>
          <w:lang w:val="en-US" w:eastAsia="en-GB"/>
        </w:rPr>
        <w:t>Tel.+39 06 4156965</w:t>
      </w:r>
    </w:p>
    <w:p w14:paraId="296D5CB1" w14:textId="77777777" w:rsidR="00527E3B" w:rsidRPr="00723390" w:rsidRDefault="00527E3B" w:rsidP="00527E3B">
      <w:pPr>
        <w:spacing w:before="0" w:line="240" w:lineRule="auto"/>
        <w:rPr>
          <w:rFonts w:asciiTheme="majorHAnsi" w:hAnsiTheme="majorHAnsi" w:cs="Arial"/>
          <w:caps/>
          <w:szCs w:val="18"/>
          <w:lang w:val="en-US" w:eastAsia="en-GB"/>
        </w:rPr>
      </w:pPr>
      <w:r w:rsidRPr="00723390">
        <w:rPr>
          <w:rFonts w:asciiTheme="majorHAnsi" w:hAnsiTheme="majorHAnsi" w:cs="Arial"/>
          <w:szCs w:val="18"/>
          <w:lang w:val="en-US" w:eastAsia="en-GB"/>
        </w:rPr>
        <w:t xml:space="preserve">Siti web: </w:t>
      </w:r>
      <w:hyperlink r:id="rId13" w:history="1">
        <w:r w:rsidRPr="00723390">
          <w:rPr>
            <w:rStyle w:val="Collegamentoipertestuale"/>
            <w:rFonts w:asciiTheme="majorHAnsi" w:hAnsiTheme="majorHAnsi" w:cs="Arial"/>
            <w:szCs w:val="18"/>
            <w:lang w:val="en-US"/>
          </w:rPr>
          <w:t>it.media.groupe.renault.com/</w:t>
        </w:r>
      </w:hyperlink>
      <w:r w:rsidRPr="00723390">
        <w:rPr>
          <w:rFonts w:asciiTheme="majorHAnsi" w:hAnsiTheme="majorHAnsi" w:cs="Arial"/>
          <w:caps/>
          <w:szCs w:val="18"/>
          <w:lang w:val="en-US" w:eastAsia="en-GB"/>
        </w:rPr>
        <w:t>;</w:t>
      </w:r>
      <w:r w:rsidRPr="00723390">
        <w:rPr>
          <w:rFonts w:asciiTheme="majorHAnsi" w:hAnsiTheme="majorHAnsi" w:cs="Arial"/>
          <w:caps/>
          <w:szCs w:val="18"/>
          <w:u w:val="single"/>
          <w:lang w:val="en-US" w:eastAsia="en-GB"/>
        </w:rPr>
        <w:t xml:space="preserve"> </w:t>
      </w:r>
      <w:hyperlink r:id="rId14" w:history="1">
        <w:r w:rsidRPr="00723390">
          <w:rPr>
            <w:rStyle w:val="Collegamentoipertestuale"/>
            <w:rFonts w:asciiTheme="majorHAnsi" w:hAnsiTheme="majorHAnsi" w:cs="Arial"/>
            <w:szCs w:val="18"/>
            <w:lang w:val="en-US" w:eastAsia="en-GB"/>
          </w:rPr>
          <w:t>www.renault.it</w:t>
        </w:r>
      </w:hyperlink>
    </w:p>
    <w:p w14:paraId="6389C060" w14:textId="77777777" w:rsidR="00527E3B" w:rsidRPr="00860AAB" w:rsidRDefault="00527E3B" w:rsidP="00527E3B">
      <w:pPr>
        <w:spacing w:before="0" w:line="240" w:lineRule="auto"/>
        <w:ind w:right="333"/>
        <w:rPr>
          <w:rFonts w:asciiTheme="majorHAnsi" w:hAnsiTheme="majorHAnsi" w:cs="Arial"/>
          <w:szCs w:val="18"/>
          <w:lang w:val="it-IT"/>
        </w:rPr>
      </w:pPr>
      <w:r w:rsidRPr="00860AAB">
        <w:rPr>
          <w:rFonts w:asciiTheme="majorHAnsi" w:hAnsiTheme="majorHAnsi" w:cs="Arial"/>
          <w:szCs w:val="18"/>
          <w:lang w:val="it-IT" w:eastAsia="en-GB"/>
        </w:rPr>
        <w:t xml:space="preserve">Seguici su Twitter: @renaultitalia </w:t>
      </w:r>
    </w:p>
    <w:bookmarkEnd w:id="1"/>
    <w:p w14:paraId="36A6070E" w14:textId="77777777" w:rsidR="00527E3B" w:rsidRPr="00860AAB" w:rsidRDefault="00527E3B" w:rsidP="00527E3B">
      <w:pPr>
        <w:rPr>
          <w:rFonts w:ascii="Arial" w:hAnsi="Arial" w:cs="Arial"/>
          <w:sz w:val="20"/>
          <w:lang w:val="it-IT"/>
        </w:rPr>
      </w:pPr>
    </w:p>
    <w:p w14:paraId="404C5EAC" w14:textId="18D7A791" w:rsidR="00DC55ED" w:rsidRPr="00860AAB" w:rsidRDefault="00DC55ED" w:rsidP="00E24BA2">
      <w:pPr>
        <w:spacing w:before="0" w:line="240" w:lineRule="auto"/>
        <w:jc w:val="both"/>
        <w:rPr>
          <w:rFonts w:cs="Arial"/>
          <w:szCs w:val="18"/>
          <w:lang w:val="it-IT"/>
        </w:rPr>
      </w:pPr>
    </w:p>
    <w:sectPr w:rsidR="00DC55ED" w:rsidRPr="00860AAB" w:rsidSect="00F359D2">
      <w:headerReference w:type="even" r:id="rId15"/>
      <w:headerReference w:type="default" r:id="rId16"/>
      <w:footerReference w:type="even" r:id="rId17"/>
      <w:footerReference w:type="default" r:id="rId18"/>
      <w:headerReference w:type="first" r:id="rId19"/>
      <w:footerReference w:type="first" r:id="rId20"/>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7D8A" w14:textId="77777777" w:rsidR="006E63BF" w:rsidRDefault="006E63BF" w:rsidP="00A602D8">
      <w:pPr>
        <w:spacing w:before="0" w:line="240" w:lineRule="auto"/>
      </w:pPr>
      <w:r>
        <w:separator/>
      </w:r>
    </w:p>
  </w:endnote>
  <w:endnote w:type="continuationSeparator" w:id="0">
    <w:p w14:paraId="66DA271C" w14:textId="77777777" w:rsidR="006E63BF" w:rsidRDefault="006E63BF"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EB2" w14:textId="1E0538C9" w:rsidR="00C84CE8" w:rsidRDefault="00E04269">
    <w:pPr>
      <w:pStyle w:val="Pidipagina"/>
    </w:pPr>
    <w:r>
      <w:rPr>
        <w:noProof/>
      </w:rPr>
      <mc:AlternateContent>
        <mc:Choice Requires="wps">
          <w:drawing>
            <wp:anchor distT="0" distB="0" distL="0" distR="0" simplePos="0" relativeHeight="251659264" behindDoc="0" locked="0" layoutInCell="1" allowOverlap="1" wp14:anchorId="496034D6" wp14:editId="697FB64B">
              <wp:simplePos x="635" y="635"/>
              <wp:positionH relativeFrom="rightMargin">
                <wp:align>right</wp:align>
              </wp:positionH>
              <wp:positionV relativeFrom="paragraph">
                <wp:posOffset>635</wp:posOffset>
              </wp:positionV>
              <wp:extent cx="443865" cy="443865"/>
              <wp:effectExtent l="0" t="0" r="0" b="15240"/>
              <wp:wrapSquare wrapText="bothSides"/>
              <wp:docPr id="7" name="Casella di testo 7"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BC281" w14:textId="28118410"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96034D6" id="_x0000_t202" coordsize="21600,21600" o:spt="202" path="m,l,21600r21600,l21600,xe">
              <v:stroke joinstyle="miter"/>
              <v:path gradientshapeok="t" o:connecttype="rect"/>
            </v:shapetype>
            <v:shape id="Casella di testo 7"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136BC281" w14:textId="28118410"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756"/>
    </w:tblGrid>
    <w:tr w:rsidR="00CB1F1A" w14:paraId="25C55816" w14:textId="77777777" w:rsidTr="00233353">
      <w:tc>
        <w:tcPr>
          <w:tcW w:w="528" w:type="dxa"/>
        </w:tcPr>
        <w:p w14:paraId="54DC62C1" w14:textId="709ED5F3" w:rsidR="00CB1F1A" w:rsidRPr="007D3970" w:rsidRDefault="00E04269" w:rsidP="007D3970">
          <w:pPr>
            <w:pStyle w:val="Pidipagina"/>
            <w:jc w:val="right"/>
            <w:rPr>
              <w:b/>
            </w:rPr>
          </w:pPr>
          <w:r>
            <w:rPr>
              <w:b/>
              <w:noProof/>
            </w:rPr>
            <mc:AlternateContent>
              <mc:Choice Requires="wps">
                <w:drawing>
                  <wp:anchor distT="0" distB="0" distL="0" distR="0" simplePos="0" relativeHeight="251660288" behindDoc="0" locked="0" layoutInCell="1" allowOverlap="1" wp14:anchorId="1882CC4E" wp14:editId="4AEF5B7A">
                    <wp:simplePos x="539750" y="10007600"/>
                    <wp:positionH relativeFrom="rightMargin">
                      <wp:align>right</wp:align>
                    </wp:positionH>
                    <wp:positionV relativeFrom="paragraph">
                      <wp:posOffset>635</wp:posOffset>
                    </wp:positionV>
                    <wp:extent cx="443865" cy="443865"/>
                    <wp:effectExtent l="0" t="0" r="0" b="15240"/>
                    <wp:wrapSquare wrapText="bothSides"/>
                    <wp:docPr id="8" name="Casella di testo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916BFD" w14:textId="7AE89329"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882CC4E" id="_x0000_t202" coordsize="21600,21600" o:spt="202" path="m,l,21600r21600,l21600,xe">
                    <v:stroke joinstyle="miter"/>
                    <v:path gradientshapeok="t" o:connecttype="rect"/>
                  </v:shapetype>
                  <v:shape id="Casella di testo 8" o:spid="_x0000_s1027" type="#_x0000_t202" alt="Confidential C"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19916BFD" w14:textId="7AE89329"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v:textbox>
                    <w10:wrap type="square" anchorx="margin"/>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69599C0E" w:rsidR="007D3970" w:rsidRPr="007D3970" w:rsidRDefault="00E04269">
          <w:pPr>
            <w:pStyle w:val="Pidipagina"/>
            <w:rPr>
              <w:b/>
              <w:sz w:val="16"/>
              <w:szCs w:val="16"/>
            </w:rPr>
          </w:pPr>
          <w:r>
            <w:rPr>
              <w:b/>
              <w:noProof/>
              <w:sz w:val="16"/>
              <w:szCs w:val="16"/>
            </w:rPr>
            <mc:AlternateContent>
              <mc:Choice Requires="wps">
                <w:drawing>
                  <wp:anchor distT="0" distB="0" distL="0" distR="0" simplePos="0" relativeHeight="251658240" behindDoc="0" locked="0" layoutInCell="1" allowOverlap="1" wp14:anchorId="2DC4B435" wp14:editId="34FC08FB">
                    <wp:simplePos x="635" y="635"/>
                    <wp:positionH relativeFrom="rightMargin">
                      <wp:align>right</wp:align>
                    </wp:positionH>
                    <wp:positionV relativeFrom="paragraph">
                      <wp:posOffset>635</wp:posOffset>
                    </wp:positionV>
                    <wp:extent cx="443865" cy="443865"/>
                    <wp:effectExtent l="0" t="0" r="0" b="15240"/>
                    <wp:wrapSquare wrapText="bothSides"/>
                    <wp:docPr id="1" name="Casella di testo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AC6E7" w14:textId="192D77E4"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DC4B435" id="_x0000_t202" coordsize="21600,21600" o:spt="202" path="m,l,21600r21600,l21600,xe">
                    <v:stroke joinstyle="miter"/>
                    <v:path gradientshapeok="t" o:connecttype="rect"/>
                  </v:shapetype>
                  <v:shape id="Casella di testo 1"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787AC6E7" w14:textId="192D77E4" w:rsidR="00E04269" w:rsidRPr="00E04269" w:rsidRDefault="00E04269">
                          <w:pPr>
                            <w:rPr>
                              <w:rFonts w:ascii="Arial" w:eastAsia="Arial" w:hAnsi="Arial" w:cs="Arial"/>
                              <w:noProof/>
                              <w:color w:val="000000"/>
                              <w:sz w:val="20"/>
                            </w:rPr>
                          </w:pPr>
                          <w:r w:rsidRPr="00E04269">
                            <w:rPr>
                              <w:rFonts w:ascii="Arial" w:eastAsia="Arial" w:hAnsi="Arial" w:cs="Arial"/>
                              <w:noProof/>
                              <w:color w:val="000000"/>
                              <w:sz w:val="20"/>
                            </w:rPr>
                            <w:t>Confidential C</w:t>
                          </w:r>
                        </w:p>
                      </w:txbxContent>
                    </v:textbox>
                    <w10:wrap type="square" anchorx="margin"/>
                  </v:shape>
                </w:pict>
              </mc:Fallback>
            </mc:AlternateContent>
          </w:r>
          <w:r w:rsidR="007D3970" w:rsidRPr="007D3970">
            <w:rPr>
              <w:b/>
              <w:sz w:val="16"/>
              <w:szCs w:val="16"/>
            </w:rPr>
            <w:t>RENAULT PRESS</w:t>
          </w:r>
        </w:p>
      </w:tc>
      <w:tc>
        <w:tcPr>
          <w:tcW w:w="8079" w:type="dxa"/>
        </w:tcPr>
        <w:p w14:paraId="0856969A" w14:textId="77777777" w:rsidR="007D3970" w:rsidRPr="00261879" w:rsidRDefault="007D3970" w:rsidP="007D3970">
          <w:pPr>
            <w:pStyle w:val="Pidipagina"/>
            <w:rPr>
              <w:lang w:val="it-IT"/>
            </w:rPr>
          </w:pPr>
          <w:r w:rsidRPr="00261879">
            <w:rPr>
              <w:lang w:val="it-IT"/>
            </w:rPr>
            <w:t>+33 0 00 00 00</w:t>
          </w:r>
        </w:p>
        <w:p w14:paraId="7CDC4ABD" w14:textId="77777777" w:rsidR="007D3970" w:rsidRPr="00261879" w:rsidRDefault="007D3970" w:rsidP="007D3970">
          <w:pPr>
            <w:pStyle w:val="Pidipagina"/>
            <w:rPr>
              <w:lang w:val="it-IT"/>
            </w:rPr>
          </w:pPr>
          <w:r w:rsidRPr="00261879">
            <w:rPr>
              <w:lang w:val="it-IT"/>
            </w:rPr>
            <w:t xml:space="preserve">media.renault@renault.fr </w:t>
          </w:r>
        </w:p>
        <w:p w14:paraId="2A2C28BA" w14:textId="77777777" w:rsidR="007D3970" w:rsidRPr="00261879" w:rsidRDefault="007D3970" w:rsidP="007D3970">
          <w:pPr>
            <w:pStyle w:val="Pidipagina"/>
            <w:rPr>
              <w:lang w:val="it-IT"/>
            </w:rPr>
          </w:pPr>
          <w:r w:rsidRPr="00261879">
            <w:rPr>
              <w:lang w:val="it-IT"/>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D833" w14:textId="77777777" w:rsidR="006E63BF" w:rsidRDefault="006E63BF" w:rsidP="00A602D8">
      <w:pPr>
        <w:spacing w:before="0" w:line="240" w:lineRule="auto"/>
      </w:pPr>
      <w:r>
        <w:separator/>
      </w:r>
    </w:p>
  </w:footnote>
  <w:footnote w:type="continuationSeparator" w:id="0">
    <w:p w14:paraId="105AC264" w14:textId="77777777" w:rsidR="006E63BF" w:rsidRDefault="006E63BF"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0976" w14:textId="77777777" w:rsidR="00C84CE8" w:rsidRDefault="00C84C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653147"/>
    <w:multiLevelType w:val="hybridMultilevel"/>
    <w:tmpl w:val="D1625980"/>
    <w:lvl w:ilvl="0" w:tplc="040C000D">
      <w:start w:val="1"/>
      <w:numFmt w:val="bullet"/>
      <w:lvlText w:val=""/>
      <w:lvlJc w:val="left"/>
      <w:pPr>
        <w:ind w:left="1065" w:hanging="705"/>
      </w:pPr>
      <w:rPr>
        <w:rFonts w:ascii="Wingdings" w:hAnsi="Wingdings" w:hint="default"/>
      </w:rPr>
    </w:lvl>
    <w:lvl w:ilvl="1" w:tplc="3D8C7A94">
      <w:numFmt w:val="bullet"/>
      <w:lvlText w:val="−"/>
      <w:lvlJc w:val="left"/>
      <w:pPr>
        <w:ind w:left="1785" w:hanging="705"/>
      </w:pPr>
      <w:rPr>
        <w:rFonts w:ascii="Renault Group" w:eastAsiaTheme="minorHAnsi" w:hAnsi="Renault Group"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C0CA0"/>
    <w:multiLevelType w:val="hybridMultilevel"/>
    <w:tmpl w:val="1F963438"/>
    <w:lvl w:ilvl="0" w:tplc="017678DC">
      <w:numFmt w:val="bullet"/>
      <w:lvlText w:val="−"/>
      <w:lvlJc w:val="left"/>
      <w:pPr>
        <w:ind w:left="1065" w:hanging="705"/>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5071E3"/>
    <w:multiLevelType w:val="hybridMultilevel"/>
    <w:tmpl w:val="DE98F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035F5F"/>
    <w:multiLevelType w:val="hybridMultilevel"/>
    <w:tmpl w:val="1EDAE5B6"/>
    <w:lvl w:ilvl="0" w:tplc="017678DC">
      <w:numFmt w:val="bullet"/>
      <w:lvlText w:val="−"/>
      <w:lvlJc w:val="left"/>
      <w:pPr>
        <w:ind w:left="1065" w:hanging="705"/>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9961273">
    <w:abstractNumId w:val="8"/>
  </w:num>
  <w:num w:numId="2" w16cid:durableId="1137526217">
    <w:abstractNumId w:val="3"/>
  </w:num>
  <w:num w:numId="3" w16cid:durableId="1240141547">
    <w:abstractNumId w:val="2"/>
  </w:num>
  <w:num w:numId="4" w16cid:durableId="739524553">
    <w:abstractNumId w:val="1"/>
  </w:num>
  <w:num w:numId="5" w16cid:durableId="165360956">
    <w:abstractNumId w:val="0"/>
  </w:num>
  <w:num w:numId="6" w16cid:durableId="50350220">
    <w:abstractNumId w:val="9"/>
  </w:num>
  <w:num w:numId="7" w16cid:durableId="1212427193">
    <w:abstractNumId w:val="7"/>
  </w:num>
  <w:num w:numId="8" w16cid:durableId="1609657553">
    <w:abstractNumId w:val="6"/>
  </w:num>
  <w:num w:numId="9" w16cid:durableId="1060712296">
    <w:abstractNumId w:val="5"/>
  </w:num>
  <w:num w:numId="10" w16cid:durableId="702249940">
    <w:abstractNumId w:val="4"/>
  </w:num>
  <w:num w:numId="11" w16cid:durableId="138151116">
    <w:abstractNumId w:val="22"/>
  </w:num>
  <w:num w:numId="12" w16cid:durableId="1880699311">
    <w:abstractNumId w:val="18"/>
  </w:num>
  <w:num w:numId="13" w16cid:durableId="878249221">
    <w:abstractNumId w:val="17"/>
  </w:num>
  <w:num w:numId="14" w16cid:durableId="2053917121">
    <w:abstractNumId w:val="20"/>
  </w:num>
  <w:num w:numId="15" w16cid:durableId="1887716778">
    <w:abstractNumId w:val="21"/>
  </w:num>
  <w:num w:numId="16" w16cid:durableId="1445997489">
    <w:abstractNumId w:val="11"/>
  </w:num>
  <w:num w:numId="17" w16cid:durableId="188177877">
    <w:abstractNumId w:val="15"/>
  </w:num>
  <w:num w:numId="18" w16cid:durableId="1879275200">
    <w:abstractNumId w:val="14"/>
  </w:num>
  <w:num w:numId="19" w16cid:durableId="97213972">
    <w:abstractNumId w:val="10"/>
  </w:num>
  <w:num w:numId="20" w16cid:durableId="1056974838">
    <w:abstractNumId w:val="16"/>
  </w:num>
  <w:num w:numId="21" w16cid:durableId="60252328">
    <w:abstractNumId w:val="19"/>
  </w:num>
  <w:num w:numId="22" w16cid:durableId="1120878382">
    <w:abstractNumId w:val="13"/>
  </w:num>
  <w:num w:numId="23" w16cid:durableId="400829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0739E"/>
    <w:rsid w:val="000256D7"/>
    <w:rsid w:val="0002683C"/>
    <w:rsid w:val="00031C67"/>
    <w:rsid w:val="000501F2"/>
    <w:rsid w:val="00057DD0"/>
    <w:rsid w:val="000720CA"/>
    <w:rsid w:val="00087566"/>
    <w:rsid w:val="00097A5A"/>
    <w:rsid w:val="000B0967"/>
    <w:rsid w:val="000C1633"/>
    <w:rsid w:val="000C321F"/>
    <w:rsid w:val="000D49A5"/>
    <w:rsid w:val="000D7435"/>
    <w:rsid w:val="001036CD"/>
    <w:rsid w:val="001230D0"/>
    <w:rsid w:val="00133E32"/>
    <w:rsid w:val="00156736"/>
    <w:rsid w:val="00170D64"/>
    <w:rsid w:val="00172806"/>
    <w:rsid w:val="001814C1"/>
    <w:rsid w:val="00181AFE"/>
    <w:rsid w:val="001B591C"/>
    <w:rsid w:val="001B69D4"/>
    <w:rsid w:val="001C21F5"/>
    <w:rsid w:val="001D11A7"/>
    <w:rsid w:val="001F05FE"/>
    <w:rsid w:val="001F1509"/>
    <w:rsid w:val="001F20D4"/>
    <w:rsid w:val="00207C98"/>
    <w:rsid w:val="00215239"/>
    <w:rsid w:val="00217EEE"/>
    <w:rsid w:val="00233353"/>
    <w:rsid w:val="00241D17"/>
    <w:rsid w:val="002464F4"/>
    <w:rsid w:val="002476A7"/>
    <w:rsid w:val="00261879"/>
    <w:rsid w:val="002836DD"/>
    <w:rsid w:val="00285B9F"/>
    <w:rsid w:val="00293E0C"/>
    <w:rsid w:val="002A1BB1"/>
    <w:rsid w:val="002B7303"/>
    <w:rsid w:val="002B7340"/>
    <w:rsid w:val="002C508D"/>
    <w:rsid w:val="002C5B84"/>
    <w:rsid w:val="002D407F"/>
    <w:rsid w:val="002E2E49"/>
    <w:rsid w:val="002F5DA3"/>
    <w:rsid w:val="00325682"/>
    <w:rsid w:val="00325F79"/>
    <w:rsid w:val="0034053C"/>
    <w:rsid w:val="00351C76"/>
    <w:rsid w:val="00357212"/>
    <w:rsid w:val="003864AD"/>
    <w:rsid w:val="003A1145"/>
    <w:rsid w:val="003B367C"/>
    <w:rsid w:val="003D4D16"/>
    <w:rsid w:val="003E68CC"/>
    <w:rsid w:val="003F7765"/>
    <w:rsid w:val="004022B4"/>
    <w:rsid w:val="004151C7"/>
    <w:rsid w:val="00425677"/>
    <w:rsid w:val="00433EDD"/>
    <w:rsid w:val="0044219E"/>
    <w:rsid w:val="00445BF1"/>
    <w:rsid w:val="004511AA"/>
    <w:rsid w:val="0045216F"/>
    <w:rsid w:val="004566FC"/>
    <w:rsid w:val="0046176B"/>
    <w:rsid w:val="004757C5"/>
    <w:rsid w:val="004B08AC"/>
    <w:rsid w:val="004B761B"/>
    <w:rsid w:val="004F3B14"/>
    <w:rsid w:val="00516729"/>
    <w:rsid w:val="005176D9"/>
    <w:rsid w:val="00520E8D"/>
    <w:rsid w:val="00527E3B"/>
    <w:rsid w:val="005322CB"/>
    <w:rsid w:val="00544345"/>
    <w:rsid w:val="00545DD0"/>
    <w:rsid w:val="00547CA1"/>
    <w:rsid w:val="00557380"/>
    <w:rsid w:val="005732EA"/>
    <w:rsid w:val="00573F62"/>
    <w:rsid w:val="0057500A"/>
    <w:rsid w:val="005A68B7"/>
    <w:rsid w:val="005B10DA"/>
    <w:rsid w:val="005B438E"/>
    <w:rsid w:val="005C775F"/>
    <w:rsid w:val="005D6B64"/>
    <w:rsid w:val="005E57D2"/>
    <w:rsid w:val="0061682B"/>
    <w:rsid w:val="0063379F"/>
    <w:rsid w:val="00637C9C"/>
    <w:rsid w:val="00642390"/>
    <w:rsid w:val="00646166"/>
    <w:rsid w:val="00655A10"/>
    <w:rsid w:val="00682310"/>
    <w:rsid w:val="00682D2F"/>
    <w:rsid w:val="006913E3"/>
    <w:rsid w:val="00693F8E"/>
    <w:rsid w:val="006B5C7E"/>
    <w:rsid w:val="006D64AE"/>
    <w:rsid w:val="006E27BF"/>
    <w:rsid w:val="006E63BF"/>
    <w:rsid w:val="006F3643"/>
    <w:rsid w:val="006F3E46"/>
    <w:rsid w:val="00705F82"/>
    <w:rsid w:val="0072225B"/>
    <w:rsid w:val="00723390"/>
    <w:rsid w:val="00723E39"/>
    <w:rsid w:val="00741983"/>
    <w:rsid w:val="007450B8"/>
    <w:rsid w:val="00746001"/>
    <w:rsid w:val="00767155"/>
    <w:rsid w:val="00767B6D"/>
    <w:rsid w:val="007A46E2"/>
    <w:rsid w:val="007C3991"/>
    <w:rsid w:val="007C61B0"/>
    <w:rsid w:val="007D3970"/>
    <w:rsid w:val="007E317D"/>
    <w:rsid w:val="007E4F11"/>
    <w:rsid w:val="007E68F9"/>
    <w:rsid w:val="0080313B"/>
    <w:rsid w:val="00804814"/>
    <w:rsid w:val="00805FAA"/>
    <w:rsid w:val="008124BD"/>
    <w:rsid w:val="008125E7"/>
    <w:rsid w:val="00814CBC"/>
    <w:rsid w:val="00815B14"/>
    <w:rsid w:val="0081689C"/>
    <w:rsid w:val="00826A82"/>
    <w:rsid w:val="00833877"/>
    <w:rsid w:val="008430E7"/>
    <w:rsid w:val="00844956"/>
    <w:rsid w:val="00860AAB"/>
    <w:rsid w:val="00872FC1"/>
    <w:rsid w:val="00877117"/>
    <w:rsid w:val="008B37EF"/>
    <w:rsid w:val="008C3A08"/>
    <w:rsid w:val="008C70A8"/>
    <w:rsid w:val="008C7E44"/>
    <w:rsid w:val="008E2A6E"/>
    <w:rsid w:val="008F0F07"/>
    <w:rsid w:val="008F2A13"/>
    <w:rsid w:val="008F68B0"/>
    <w:rsid w:val="009278AB"/>
    <w:rsid w:val="00961657"/>
    <w:rsid w:val="00966C87"/>
    <w:rsid w:val="0096767F"/>
    <w:rsid w:val="00983616"/>
    <w:rsid w:val="00986599"/>
    <w:rsid w:val="009968C5"/>
    <w:rsid w:val="009A23AB"/>
    <w:rsid w:val="009D180E"/>
    <w:rsid w:val="009E5C5E"/>
    <w:rsid w:val="00A012DB"/>
    <w:rsid w:val="00A02FD5"/>
    <w:rsid w:val="00A10CE9"/>
    <w:rsid w:val="00A40718"/>
    <w:rsid w:val="00A602D8"/>
    <w:rsid w:val="00A70CB0"/>
    <w:rsid w:val="00A86EC8"/>
    <w:rsid w:val="00A90F53"/>
    <w:rsid w:val="00AA7856"/>
    <w:rsid w:val="00AC4842"/>
    <w:rsid w:val="00AE71AA"/>
    <w:rsid w:val="00B07127"/>
    <w:rsid w:val="00B14767"/>
    <w:rsid w:val="00B322B1"/>
    <w:rsid w:val="00B32F4C"/>
    <w:rsid w:val="00B342A1"/>
    <w:rsid w:val="00B556B5"/>
    <w:rsid w:val="00B64F18"/>
    <w:rsid w:val="00B70BA3"/>
    <w:rsid w:val="00B80BA9"/>
    <w:rsid w:val="00B92FB1"/>
    <w:rsid w:val="00BA7E71"/>
    <w:rsid w:val="00BB60E7"/>
    <w:rsid w:val="00BC1F29"/>
    <w:rsid w:val="00BE6126"/>
    <w:rsid w:val="00C07755"/>
    <w:rsid w:val="00C10E75"/>
    <w:rsid w:val="00C21B90"/>
    <w:rsid w:val="00C31F14"/>
    <w:rsid w:val="00C37FBD"/>
    <w:rsid w:val="00C64900"/>
    <w:rsid w:val="00C76C9C"/>
    <w:rsid w:val="00C8105C"/>
    <w:rsid w:val="00C84CE8"/>
    <w:rsid w:val="00C95AAF"/>
    <w:rsid w:val="00CA5361"/>
    <w:rsid w:val="00CA789D"/>
    <w:rsid w:val="00CB1F1A"/>
    <w:rsid w:val="00CB3CA4"/>
    <w:rsid w:val="00CB4F80"/>
    <w:rsid w:val="00CD123A"/>
    <w:rsid w:val="00CD5E6B"/>
    <w:rsid w:val="00CF0C3A"/>
    <w:rsid w:val="00CF260D"/>
    <w:rsid w:val="00CF6B83"/>
    <w:rsid w:val="00D04052"/>
    <w:rsid w:val="00D050E1"/>
    <w:rsid w:val="00D20D73"/>
    <w:rsid w:val="00D23DBB"/>
    <w:rsid w:val="00D265D9"/>
    <w:rsid w:val="00D27937"/>
    <w:rsid w:val="00D54C2A"/>
    <w:rsid w:val="00D72D75"/>
    <w:rsid w:val="00D831A1"/>
    <w:rsid w:val="00D83FE9"/>
    <w:rsid w:val="00DA0554"/>
    <w:rsid w:val="00DA18FB"/>
    <w:rsid w:val="00DA27E1"/>
    <w:rsid w:val="00DC022B"/>
    <w:rsid w:val="00DC55ED"/>
    <w:rsid w:val="00DC7837"/>
    <w:rsid w:val="00DC7D93"/>
    <w:rsid w:val="00DE1443"/>
    <w:rsid w:val="00DE5B73"/>
    <w:rsid w:val="00DE72B9"/>
    <w:rsid w:val="00E04269"/>
    <w:rsid w:val="00E1378E"/>
    <w:rsid w:val="00E24BA2"/>
    <w:rsid w:val="00E27DE3"/>
    <w:rsid w:val="00E30FC0"/>
    <w:rsid w:val="00E35CC3"/>
    <w:rsid w:val="00E62424"/>
    <w:rsid w:val="00E66807"/>
    <w:rsid w:val="00E70202"/>
    <w:rsid w:val="00E81176"/>
    <w:rsid w:val="00E87330"/>
    <w:rsid w:val="00E87860"/>
    <w:rsid w:val="00EA248C"/>
    <w:rsid w:val="00EA55DC"/>
    <w:rsid w:val="00EB3F62"/>
    <w:rsid w:val="00EF0D68"/>
    <w:rsid w:val="00EF289F"/>
    <w:rsid w:val="00F14094"/>
    <w:rsid w:val="00F22D0C"/>
    <w:rsid w:val="00F2694F"/>
    <w:rsid w:val="00F30145"/>
    <w:rsid w:val="00F31BC4"/>
    <w:rsid w:val="00F359D2"/>
    <w:rsid w:val="00F46A88"/>
    <w:rsid w:val="00F5284E"/>
    <w:rsid w:val="00F97755"/>
    <w:rsid w:val="00FA062C"/>
    <w:rsid w:val="00FC0E88"/>
    <w:rsid w:val="00FD6CFC"/>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348485151">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BDF63-9EAD-473B-8A3A-898D4A34E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 ds:uri="1fd1b6b4-71da-4fb9-8b6f-e568beed8c4d"/>
    <ds:schemaRef ds:uri="fb7adb7a-fb3b-47c0-bd90-038ce2d25278"/>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C61F4B33-9674-4625-B3DB-763B743DEEB0}">
  <ds:schemaRefs>
    <ds:schemaRef ds:uri="http://schemas.microsoft.com/sharepoint/v3/contenttype/forms"/>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3419</Characters>
  <Application>Microsoft Office Word</Application>
  <DocSecurity>0</DocSecurity>
  <Lines>28</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9</cp:revision>
  <dcterms:created xsi:type="dcterms:W3CDTF">2023-01-29T17:15:00Z</dcterms:created>
  <dcterms:modified xsi:type="dcterms:W3CDTF">2023-01-29T20:22:00Z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SetDate">
    <vt:lpwstr>2023-01-29T20:22:37Z</vt:lpwstr>
  </property>
  <property fmtid="{D5CDD505-2E9C-101B-9397-08002B2CF9AE}" pid="20" name="MSIP_Label_fd1c0902-ed92-4fed-896d-2e7725de02d4_Name">
    <vt:lpwstr>Anyone (not protected)</vt:lpwstr>
  </property>
  <property fmtid="{D5CDD505-2E9C-101B-9397-08002B2CF9AE}" pid="21" name="MSIP_Label_fd1c0902-ed92-4fed-896d-2e7725de02d4_ActionId">
    <vt:lpwstr>0ea7a0c9-9143-4b57-93fb-2961ff31e01a</vt:lpwstr>
  </property>
  <property fmtid="{D5CDD505-2E9C-101B-9397-08002B2CF9AE}" pid="22" name="MSIP_Label_fd1c0902-ed92-4fed-896d-2e7725de02d4_ContentBits">
    <vt:lpwstr>2</vt:lpwstr>
  </property>
  <property fmtid="{D5CDD505-2E9C-101B-9397-08002B2CF9AE}" pid="23" name="ClassificationContentMarkingFooterShapeIds">
    <vt:lpwstr>1,7,8</vt:lpwstr>
  </property>
  <property fmtid="{D5CDD505-2E9C-101B-9397-08002B2CF9AE}" pid="24" name="ClassificationContentMarkingFooterFontProps">
    <vt:lpwstr>#000000,10,Arial</vt:lpwstr>
  </property>
  <property fmtid="{D5CDD505-2E9C-101B-9397-08002B2CF9AE}" pid="25" name="ClassificationContentMarkingFooterText">
    <vt:lpwstr>Confidential C</vt:lpwstr>
  </property>
  <property fmtid="{D5CDD505-2E9C-101B-9397-08002B2CF9AE}" pid="26" name="MSIP_Label_fd1c0902-ed92-4fed-896d-2e7725de02d4_Enabled">
    <vt:lpwstr>true</vt:lpwstr>
  </property>
  <property fmtid="{D5CDD505-2E9C-101B-9397-08002B2CF9AE}" pid="27" name="MSIP_Label_fd1c0902-ed92-4fed-896d-2e7725de02d4_Method">
    <vt:lpwstr>Privileged</vt:lpwstr>
  </property>
  <property fmtid="{D5CDD505-2E9C-101B-9397-08002B2CF9AE}" pid="28" name="MSIP_Label_fd1c0902-ed92-4fed-896d-2e7725de02d4_SiteId">
    <vt:lpwstr>d6b0bbee-7cd9-4d60-bce6-4a67b543e2ae</vt:lpwstr>
  </property>
  <property fmtid="{D5CDD505-2E9C-101B-9397-08002B2CF9AE}" pid="29" name="MediaServiceImageTags">
    <vt:lpwstr/>
  </property>
</Properties>
</file>